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AE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19-е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4C0657" w:rsidP="00AE34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AE347A">
        <w:rPr>
          <w:rFonts w:ascii="Times New Roman" w:hAnsi="Times New Roman" w:cs="Times New Roman"/>
          <w:sz w:val="28"/>
          <w:szCs w:val="28"/>
        </w:rPr>
        <w:t>нинвест</w:t>
      </w:r>
      <w:proofErr w:type="spellEnd"/>
      <w:r w:rsidR="00AE347A">
        <w:rPr>
          <w:rFonts w:ascii="Times New Roman" w:hAnsi="Times New Roman" w:cs="Times New Roman"/>
          <w:sz w:val="28"/>
          <w:szCs w:val="28"/>
        </w:rPr>
        <w:t xml:space="preserve">-Холдинг» не осуществляет заключение договоров с потребителями электрической энергии в отношении  которых определена величина резервируемой максимальной мощности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4C0657"/>
    <w:rsid w:val="005225BF"/>
    <w:rsid w:val="005277B7"/>
    <w:rsid w:val="005A2690"/>
    <w:rsid w:val="00AE347A"/>
    <w:rsid w:val="00C413CE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2020-09-02T13:20:00Z</dcterms:created>
  <dcterms:modified xsi:type="dcterms:W3CDTF">2020-09-02T13:20:00Z</dcterms:modified>
</cp:coreProperties>
</file>